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61" w:rsidRDefault="00911132" w:rsidP="00F12F99">
      <w:pPr>
        <w:pStyle w:val="BodyText2"/>
      </w:pPr>
      <w:r>
        <w:t>An acquiring person</w:t>
      </w:r>
      <w:r w:rsidR="00342B07">
        <w:t xml:space="preserve"> </w:t>
      </w:r>
      <w:r w:rsidR="00DD406A">
        <w:t xml:space="preserve">must make an HSR filing for a pending transaction.  </w:t>
      </w:r>
      <w:r>
        <w:t>The acquiring person</w:t>
      </w:r>
      <w:r w:rsidR="00DD406A">
        <w:t xml:space="preserve"> reports revenues in various industries, but the</w:t>
      </w:r>
      <w:r w:rsidR="00ED06AD" w:rsidRPr="00ED06AD">
        <w:t xml:space="preserve"> transaction has the following overlaps:</w:t>
      </w:r>
    </w:p>
    <w:p w:rsidR="00DB2F46" w:rsidRPr="00ED06AD" w:rsidRDefault="00DB2F46">
      <w:pPr>
        <w:rPr>
          <w:rFonts w:ascii="Times New Roman" w:hAnsi="Times New Roman"/>
          <w:sz w:val="24"/>
          <w:szCs w:val="24"/>
        </w:rPr>
      </w:pPr>
    </w:p>
    <w:p w:rsidR="00ED06AD" w:rsidRPr="00ED06AD" w:rsidRDefault="00ED06AD" w:rsidP="00DB2F46">
      <w:pPr>
        <w:ind w:left="720"/>
        <w:rPr>
          <w:rFonts w:ascii="Times New Roman" w:hAnsi="Times New Roman"/>
          <w:bCs/>
          <w:sz w:val="24"/>
          <w:szCs w:val="24"/>
        </w:rPr>
      </w:pPr>
      <w:r w:rsidRPr="00ED06AD">
        <w:rPr>
          <w:rFonts w:ascii="Times New Roman" w:hAnsi="Times New Roman"/>
          <w:bCs/>
          <w:sz w:val="24"/>
          <w:szCs w:val="24"/>
        </w:rPr>
        <w:t>311119</w:t>
      </w:r>
      <w:r w:rsidRPr="00ED06AD">
        <w:rPr>
          <w:rFonts w:ascii="Times New Roman" w:hAnsi="Times New Roman"/>
          <w:bCs/>
          <w:sz w:val="24"/>
          <w:szCs w:val="24"/>
        </w:rPr>
        <w:tab/>
      </w:r>
      <w:r w:rsidRPr="00ED06AD">
        <w:rPr>
          <w:rFonts w:ascii="Times New Roman" w:hAnsi="Times New Roman"/>
          <w:bCs/>
          <w:sz w:val="24"/>
          <w:szCs w:val="24"/>
        </w:rPr>
        <w:tab/>
        <w:t>Other Animal Food Manufacturing</w:t>
      </w:r>
    </w:p>
    <w:p w:rsidR="00ED06AD" w:rsidRPr="00ED06AD" w:rsidRDefault="00ED06AD" w:rsidP="00DB2F46">
      <w:pPr>
        <w:ind w:left="720"/>
        <w:rPr>
          <w:rFonts w:ascii="Times New Roman" w:hAnsi="Times New Roman"/>
          <w:sz w:val="24"/>
          <w:szCs w:val="24"/>
        </w:rPr>
      </w:pPr>
      <w:r w:rsidRPr="00ED06AD">
        <w:rPr>
          <w:rFonts w:ascii="Times New Roman" w:hAnsi="Times New Roman"/>
          <w:sz w:val="24"/>
          <w:szCs w:val="24"/>
        </w:rPr>
        <w:t>2001475000</w:t>
      </w:r>
      <w:r w:rsidRPr="00ED06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D06AD">
        <w:rPr>
          <w:rFonts w:ascii="Times New Roman" w:hAnsi="Times New Roman"/>
          <w:sz w:val="24"/>
          <w:szCs w:val="24"/>
        </w:rPr>
        <w:t>Manufacturing of frozen cakes, pies, and other pastries</w:t>
      </w:r>
    </w:p>
    <w:p w:rsidR="00ED06AD" w:rsidRDefault="00ED06AD" w:rsidP="00DB2F46">
      <w:pPr>
        <w:ind w:left="720"/>
        <w:rPr>
          <w:rFonts w:ascii="Times New Roman" w:hAnsi="Times New Roman"/>
          <w:bCs/>
          <w:sz w:val="24"/>
          <w:szCs w:val="24"/>
        </w:rPr>
      </w:pPr>
      <w:r w:rsidRPr="00ED06AD">
        <w:rPr>
          <w:rFonts w:ascii="Times New Roman" w:hAnsi="Times New Roman"/>
          <w:bCs/>
          <w:sz w:val="24"/>
          <w:szCs w:val="24"/>
        </w:rPr>
        <w:t>811191</w:t>
      </w:r>
      <w:r w:rsidRPr="00ED06AD">
        <w:rPr>
          <w:rFonts w:ascii="Times New Roman" w:hAnsi="Times New Roman"/>
          <w:bCs/>
          <w:sz w:val="24"/>
          <w:szCs w:val="24"/>
        </w:rPr>
        <w:tab/>
      </w:r>
      <w:r w:rsidRPr="00ED06AD">
        <w:rPr>
          <w:rFonts w:ascii="Times New Roman" w:hAnsi="Times New Roman"/>
          <w:bCs/>
          <w:sz w:val="24"/>
          <w:szCs w:val="24"/>
        </w:rPr>
        <w:tab/>
        <w:t>Automotive Oil Change and Lubrication Shops</w:t>
      </w:r>
    </w:p>
    <w:p w:rsidR="00ED06AD" w:rsidRDefault="00ED06AD">
      <w:pPr>
        <w:rPr>
          <w:rFonts w:ascii="Times New Roman" w:hAnsi="Times New Roman"/>
          <w:bCs/>
          <w:sz w:val="24"/>
          <w:szCs w:val="24"/>
        </w:rPr>
      </w:pPr>
    </w:p>
    <w:p w:rsidR="00CF5FB5" w:rsidRDefault="00911132">
      <w:pPr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The acquiring person</w:t>
      </w:r>
      <w:r w:rsidR="0016654C">
        <w:rPr>
          <w:rFonts w:ascii="Times New Roman" w:hAnsi="Times New Roman"/>
          <w:bCs/>
          <w:sz w:val="24"/>
          <w:szCs w:val="24"/>
        </w:rPr>
        <w:t xml:space="preserve">’s </w:t>
      </w:r>
      <w:r w:rsidR="00ED06AD">
        <w:rPr>
          <w:rFonts w:ascii="Times New Roman" w:hAnsi="Times New Roman"/>
          <w:bCs/>
          <w:sz w:val="24"/>
          <w:szCs w:val="24"/>
        </w:rPr>
        <w:t>Item 5 would look</w:t>
      </w:r>
      <w:r w:rsidR="0016654C">
        <w:rPr>
          <w:rFonts w:ascii="Times New Roman" w:hAnsi="Times New Roman"/>
          <w:bCs/>
          <w:sz w:val="24"/>
          <w:szCs w:val="24"/>
        </w:rPr>
        <w:t xml:space="preserve"> like this</w:t>
      </w:r>
      <w:r w:rsidR="00ED06AD">
        <w:rPr>
          <w:rFonts w:ascii="Times New Roman" w:hAnsi="Times New Roman"/>
          <w:bCs/>
          <w:sz w:val="24"/>
          <w:szCs w:val="24"/>
        </w:rPr>
        <w:t>:</w:t>
      </w:r>
    </w:p>
    <w:p w:rsidR="00ED06AD" w:rsidRDefault="00ED06AD">
      <w:pPr>
        <w:rPr>
          <w:rFonts w:ascii="Times New Roman" w:hAnsi="Times New Roman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3998"/>
        <w:gridCol w:w="2427"/>
        <w:gridCol w:w="1076"/>
      </w:tblGrid>
      <w:tr w:rsidR="00ED06AD" w:rsidTr="0059679D">
        <w:trPr>
          <w:trHeight w:val="1254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pStyle w:val="table-centered"/>
              <w:spacing w:after="240"/>
            </w:pPr>
            <w:r>
              <w:rPr>
                <w:sz w:val="16"/>
                <w:szCs w:val="16"/>
              </w:rPr>
              <w:t xml:space="preserve">6-DIGIT INDUSTRY CODE AND/OR </w:t>
            </w:r>
            <w:r>
              <w:rPr>
                <w:sz w:val="16"/>
                <w:szCs w:val="16"/>
              </w:rPr>
              <w:br/>
              <w:t>10-DIGIT NAPCS-BASED PRODUCT CODE</w:t>
            </w:r>
          </w:p>
        </w:tc>
        <w:tc>
          <w:tcPr>
            <w:tcW w:w="4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pStyle w:val="table-centered"/>
              <w:spacing w:after="240"/>
            </w:pPr>
            <w:r>
              <w:rPr>
                <w:sz w:val="16"/>
                <w:szCs w:val="16"/>
              </w:rPr>
              <w:t>DESCRIPTION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pStyle w:val="table-centered"/>
              <w:spacing w:after="240"/>
            </w:pPr>
            <w:r>
              <w:rPr>
                <w:sz w:val="16"/>
                <w:szCs w:val="16"/>
              </w:rPr>
              <w:t>YEAR</w:t>
            </w:r>
            <w:r>
              <w:rPr>
                <w:sz w:val="16"/>
                <w:szCs w:val="16"/>
              </w:rPr>
              <w:br/>
              <w:t>2018</w:t>
            </w:r>
            <w:r>
              <w:rPr>
                <w:sz w:val="16"/>
                <w:szCs w:val="16"/>
              </w:rPr>
              <w:br/>
              <w:t>TOTAL DOLLAR REVENUES</w:t>
            </w:r>
            <w:r>
              <w:rPr>
                <w:sz w:val="16"/>
                <w:szCs w:val="16"/>
              </w:rPr>
              <w:br/>
              <w:t>($MM)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pStyle w:val="table-centered"/>
              <w:spacing w:after="240"/>
            </w:pPr>
            <w:r>
              <w:rPr>
                <w:sz w:val="16"/>
                <w:szCs w:val="16"/>
              </w:rPr>
              <w:t>Overlap</w:t>
            </w:r>
          </w:p>
        </w:tc>
      </w:tr>
      <w:tr w:rsidR="00ED06AD" w:rsidTr="0059679D">
        <w:trPr>
          <w:trHeight w:val="432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311119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Other Animal Food Manufacturing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100.0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rFonts w:ascii="MS Gothic" w:eastAsia="MS Gothic" w:hAnsi="MS Gothic" w:hint="eastAsia"/>
                <w:b/>
                <w:bCs/>
              </w:rPr>
              <w:t>☒</w:t>
            </w:r>
          </w:p>
        </w:tc>
      </w:tr>
      <w:tr w:rsidR="00ED06AD" w:rsidTr="0059679D">
        <w:trPr>
          <w:trHeight w:val="432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sz w:val="20"/>
                <w:szCs w:val="20"/>
              </w:rPr>
              <w:t>2034500000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sz w:val="20"/>
                <w:szCs w:val="20"/>
              </w:rPr>
              <w:t>Manufacturing of complete swine feed, supplements, concentrates, and premixes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sz w:val="20"/>
                <w:szCs w:val="20"/>
              </w:rPr>
              <w:t>50.0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sz w:val="36"/>
                <w:szCs w:val="36"/>
              </w:rPr>
              <w:t>□</w:t>
            </w:r>
          </w:p>
        </w:tc>
      </w:tr>
      <w:tr w:rsidR="00ED06AD" w:rsidTr="00DB2F46">
        <w:trPr>
          <w:trHeight w:val="543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sz w:val="20"/>
                <w:szCs w:val="20"/>
              </w:rPr>
              <w:t>2034525000</w:t>
            </w:r>
          </w:p>
          <w:p w:rsidR="00ED06AD" w:rsidRDefault="00ED06AD" w:rsidP="0059679D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DB2F46">
            <w:pPr>
              <w:jc w:val="center"/>
            </w:pPr>
            <w:r>
              <w:rPr>
                <w:sz w:val="20"/>
                <w:szCs w:val="20"/>
              </w:rPr>
              <w:t>Manufacturing of complete beef cattle feed, supplements, concentrates, and premixes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sz w:val="20"/>
                <w:szCs w:val="20"/>
              </w:rPr>
              <w:t>50.0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sz w:val="36"/>
                <w:szCs w:val="36"/>
              </w:rPr>
              <w:t>□</w:t>
            </w:r>
          </w:p>
        </w:tc>
      </w:tr>
      <w:tr w:rsidR="00ED06AD" w:rsidTr="0059679D">
        <w:trPr>
          <w:trHeight w:val="432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311812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Commercial Bakeries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40.0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rFonts w:ascii="MS Gothic" w:eastAsia="MS Gothic" w:hAnsi="MS Gothic" w:hint="eastAsia"/>
                <w:b/>
                <w:bCs/>
              </w:rPr>
              <w:t>☒</w:t>
            </w:r>
          </w:p>
        </w:tc>
      </w:tr>
      <w:tr w:rsidR="00ED06AD" w:rsidTr="0059679D">
        <w:trPr>
          <w:trHeight w:val="432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sz w:val="20"/>
                <w:szCs w:val="20"/>
              </w:rPr>
              <w:t>2001450000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sz w:val="20"/>
                <w:szCs w:val="20"/>
              </w:rPr>
              <w:t>Manufacturing of other sweet goods (doughnuts, pastries, coffee cakes. etc.), excluding cookies and frozen sweets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sz w:val="20"/>
                <w:szCs w:val="20"/>
              </w:rPr>
              <w:t>25.0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sz w:val="36"/>
                <w:szCs w:val="36"/>
              </w:rPr>
              <w:t>□</w:t>
            </w:r>
          </w:p>
        </w:tc>
      </w:tr>
      <w:tr w:rsidR="00ED06AD" w:rsidTr="0059679D">
        <w:trPr>
          <w:trHeight w:val="432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sz w:val="20"/>
                <w:szCs w:val="20"/>
              </w:rPr>
              <w:t>2001475000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sz w:val="20"/>
                <w:szCs w:val="20"/>
              </w:rPr>
              <w:t>Manufacturing of frozen cakes, pies, and other pastries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sz w:val="20"/>
                <w:szCs w:val="20"/>
              </w:rPr>
              <w:t>15.0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rFonts w:ascii="MS Gothic" w:eastAsia="MS Gothic" w:hAnsi="MS Gothic" w:hint="eastAsia"/>
                <w:b/>
                <w:bCs/>
              </w:rPr>
              <w:t>☒</w:t>
            </w:r>
          </w:p>
        </w:tc>
      </w:tr>
      <w:tr w:rsidR="0016654C" w:rsidTr="0059679D">
        <w:trPr>
          <w:trHeight w:val="432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16654C" w:rsidRPr="003C33A9" w:rsidRDefault="0002264C" w:rsidP="0059679D">
            <w:pPr>
              <w:jc w:val="center"/>
              <w:rPr>
                <w:b/>
                <w:sz w:val="20"/>
                <w:szCs w:val="20"/>
              </w:rPr>
            </w:pPr>
            <w:r w:rsidRPr="003C33A9">
              <w:rPr>
                <w:b/>
                <w:sz w:val="20"/>
                <w:szCs w:val="20"/>
              </w:rPr>
              <w:t>333414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16654C" w:rsidRPr="003C33A9" w:rsidRDefault="003C33A9" w:rsidP="0059679D">
            <w:pPr>
              <w:jc w:val="center"/>
              <w:rPr>
                <w:b/>
                <w:sz w:val="20"/>
                <w:szCs w:val="20"/>
              </w:rPr>
            </w:pPr>
            <w:r w:rsidRPr="003C33A9">
              <w:rPr>
                <w:b/>
                <w:sz w:val="20"/>
                <w:szCs w:val="20"/>
              </w:rPr>
              <w:t>Heating Equipment (except Warm Air Furnaces) Manufacturing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16654C" w:rsidRPr="00DB5943" w:rsidRDefault="003C33A9" w:rsidP="0059679D">
            <w:pPr>
              <w:jc w:val="center"/>
              <w:rPr>
                <w:b/>
                <w:sz w:val="20"/>
                <w:szCs w:val="20"/>
              </w:rPr>
            </w:pPr>
            <w:r w:rsidRPr="00DB5943">
              <w:rPr>
                <w:b/>
                <w:sz w:val="20"/>
                <w:szCs w:val="20"/>
              </w:rPr>
              <w:t>65.0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16654C" w:rsidRDefault="003C33A9" w:rsidP="0059679D">
            <w:pPr>
              <w:jc w:val="center"/>
              <w:rPr>
                <w:rFonts w:ascii="MS Gothic" w:eastAsia="MS Gothic" w:hAnsi="MS Gothic"/>
                <w:b/>
                <w:bCs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16654C" w:rsidTr="0059679D">
        <w:trPr>
          <w:trHeight w:val="432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16654C" w:rsidRDefault="003C33A9" w:rsidP="0059679D">
            <w:pPr>
              <w:jc w:val="center"/>
              <w:rPr>
                <w:sz w:val="20"/>
                <w:szCs w:val="20"/>
              </w:rPr>
            </w:pPr>
            <w:r w:rsidRPr="003C33A9">
              <w:rPr>
                <w:sz w:val="20"/>
                <w:szCs w:val="20"/>
              </w:rPr>
              <w:t>2038650015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16654C" w:rsidRDefault="003C33A9" w:rsidP="0059679D">
            <w:pPr>
              <w:jc w:val="center"/>
              <w:rPr>
                <w:sz w:val="20"/>
                <w:szCs w:val="20"/>
              </w:rPr>
            </w:pPr>
            <w:r w:rsidRPr="003C33A9">
              <w:rPr>
                <w:sz w:val="20"/>
                <w:szCs w:val="20"/>
              </w:rPr>
              <w:t>Manufacturing of parts and attachments for gas burners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16654C" w:rsidRDefault="003C33A9" w:rsidP="00596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16654C" w:rsidRDefault="003C33A9" w:rsidP="0059679D">
            <w:pPr>
              <w:jc w:val="center"/>
              <w:rPr>
                <w:rFonts w:ascii="MS Gothic" w:eastAsia="MS Gothic" w:hAnsi="MS Gothic"/>
                <w:b/>
                <w:bCs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ED06AD" w:rsidTr="0059679D">
        <w:trPr>
          <w:trHeight w:val="432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611430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Professional and Management Development Training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50.0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sz w:val="36"/>
                <w:szCs w:val="36"/>
              </w:rPr>
              <w:t>□</w:t>
            </w:r>
          </w:p>
        </w:tc>
      </w:tr>
      <w:tr w:rsidR="0016654C" w:rsidTr="0059679D">
        <w:trPr>
          <w:trHeight w:val="432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16654C" w:rsidRDefault="0016654C" w:rsidP="005967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722511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16654C" w:rsidRDefault="0016654C" w:rsidP="005967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Full-Service Restaurants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16654C" w:rsidRDefault="0016654C" w:rsidP="005967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16654C" w:rsidRDefault="002E068F" w:rsidP="0059679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□</w:t>
            </w:r>
          </w:p>
        </w:tc>
      </w:tr>
      <w:tr w:rsidR="00ED06AD" w:rsidTr="0059679D">
        <w:trPr>
          <w:trHeight w:val="432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811191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Automotive Oil Change and Lubrication Shops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ED06AD" w:rsidP="0059679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40.0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D06AD" w:rsidRDefault="004C30C6" w:rsidP="0059679D">
            <w:pPr>
              <w:jc w:val="center"/>
            </w:pPr>
            <w:r>
              <w:rPr>
                <w:rFonts w:ascii="MS Gothic" w:eastAsia="MS Gothic" w:hAnsi="MS Gothic" w:hint="eastAsia"/>
                <w:b/>
                <w:bCs/>
              </w:rPr>
              <w:t>☒</w:t>
            </w:r>
          </w:p>
        </w:tc>
      </w:tr>
    </w:tbl>
    <w:p w:rsidR="00ED06AD" w:rsidRDefault="00ED06AD">
      <w:pPr>
        <w:rPr>
          <w:rFonts w:ascii="Times New Roman" w:hAnsi="Times New Roman"/>
        </w:rPr>
      </w:pPr>
    </w:p>
    <w:p w:rsidR="00765DEF" w:rsidRPr="0071150A" w:rsidRDefault="00765DEF" w:rsidP="0071150A">
      <w:pPr>
        <w:pStyle w:val="BodyText2"/>
      </w:pPr>
      <w:bookmarkStart w:id="0" w:name="_GoBack"/>
      <w:r w:rsidRPr="0071150A">
        <w:t>If there is only a 6-digit NAICS code overlap, filers should only check the overlap box for that code</w:t>
      </w:r>
      <w:r w:rsidR="0071150A" w:rsidRPr="0071150A">
        <w:t>, see 3</w:t>
      </w:r>
      <w:r w:rsidRPr="0071150A">
        <w:t>111</w:t>
      </w:r>
      <w:r w:rsidR="0071150A" w:rsidRPr="0071150A">
        <w:t>1</w:t>
      </w:r>
      <w:r w:rsidRPr="0071150A">
        <w:t xml:space="preserve">9 above.  If there is a 10-digit NAPCS code overlap, filers should check the overlap box for that code and the overlap box for the associated 6-digit NAICS </w:t>
      </w:r>
      <w:proofErr w:type="gramStart"/>
      <w:r w:rsidRPr="0071150A">
        <w:t>code</w:t>
      </w:r>
      <w:r w:rsidR="00F565F2">
        <w:t>,</w:t>
      </w:r>
      <w:proofErr w:type="gramEnd"/>
      <w:r w:rsidR="00F565F2">
        <w:t xml:space="preserve"> </w:t>
      </w:r>
      <w:r w:rsidR="0071150A" w:rsidRPr="0071150A">
        <w:t>see 2001475000 and 311812 above</w:t>
      </w:r>
      <w:r w:rsidRPr="0071150A">
        <w:t xml:space="preserve">.  </w:t>
      </w:r>
    </w:p>
    <w:p w:rsidR="00765DEF" w:rsidRPr="0071150A" w:rsidRDefault="00765DEF" w:rsidP="00765DEF">
      <w:pPr>
        <w:rPr>
          <w:rFonts w:ascii="Times New Roman" w:hAnsi="Times New Roman"/>
          <w:sz w:val="24"/>
          <w:szCs w:val="24"/>
        </w:rPr>
      </w:pPr>
    </w:p>
    <w:p w:rsidR="00765DEF" w:rsidRPr="0071150A" w:rsidRDefault="0071150A" w:rsidP="0071150A">
      <w:pPr>
        <w:rPr>
          <w:rFonts w:ascii="Times New Roman" w:hAnsi="Times New Roman"/>
          <w:sz w:val="24"/>
          <w:szCs w:val="24"/>
        </w:rPr>
      </w:pPr>
      <w:r w:rsidRPr="0071150A">
        <w:rPr>
          <w:rFonts w:ascii="Times New Roman" w:hAnsi="Times New Roman"/>
          <w:sz w:val="24"/>
          <w:szCs w:val="24"/>
        </w:rPr>
        <w:t>In the chart, a</w:t>
      </w:r>
      <w:r w:rsidR="00765DEF" w:rsidRPr="0071150A">
        <w:rPr>
          <w:rFonts w:ascii="Times New Roman" w:hAnsi="Times New Roman"/>
          <w:sz w:val="24"/>
          <w:szCs w:val="24"/>
        </w:rPr>
        <w:t>ll 10-digit NAPCS codes add up to the amount in the associated 6-digit NAICS manufacturing codes</w:t>
      </w:r>
      <w:r w:rsidRPr="0071150A">
        <w:rPr>
          <w:rFonts w:ascii="Times New Roman" w:hAnsi="Times New Roman"/>
          <w:sz w:val="24"/>
          <w:szCs w:val="24"/>
        </w:rPr>
        <w:t xml:space="preserve">. In addition, </w:t>
      </w:r>
      <w:r w:rsidR="00765DEF" w:rsidRPr="0071150A">
        <w:rPr>
          <w:rFonts w:ascii="Times New Roman" w:hAnsi="Times New Roman"/>
          <w:sz w:val="24"/>
          <w:szCs w:val="24"/>
        </w:rPr>
        <w:t>the 6-digit NAICS codes and the 10-digit NAPCS code(s) are all in ascending order, with the 10-digit NAPCS codes listed directly below the associated 6-digit NAICS manufacturing codes.</w:t>
      </w:r>
      <w:r w:rsidR="002846EF">
        <w:rPr>
          <w:rFonts w:ascii="Times New Roman" w:hAnsi="Times New Roman"/>
          <w:sz w:val="24"/>
          <w:szCs w:val="24"/>
        </w:rPr>
        <w:t xml:space="preserve">  </w:t>
      </w:r>
    </w:p>
    <w:p w:rsidR="0071150A" w:rsidRPr="0071150A" w:rsidRDefault="0071150A" w:rsidP="00765DEF">
      <w:pPr>
        <w:pStyle w:val="BodyText2"/>
      </w:pPr>
    </w:p>
    <w:bookmarkEnd w:id="0"/>
    <w:p w:rsidR="00ED06AD" w:rsidRDefault="002846EF" w:rsidP="0003404C">
      <w:pPr>
        <w:pStyle w:val="BodyText2"/>
      </w:pPr>
      <w:r>
        <w:t>Note 811191 for an</w:t>
      </w:r>
      <w:r w:rsidR="0071150A" w:rsidRPr="0071150A">
        <w:t xml:space="preserve"> overlap in a non-man</w:t>
      </w:r>
      <w:r w:rsidR="0071150A">
        <w:t xml:space="preserve">ufacturing 6-digit NAICS </w:t>
      </w:r>
      <w:r>
        <w:t>code.</w:t>
      </w:r>
      <w:r w:rsidR="0071150A" w:rsidRPr="0071150A">
        <w:t xml:space="preserve"> </w:t>
      </w:r>
    </w:p>
    <w:p w:rsidR="0003404C" w:rsidRPr="0071150A" w:rsidRDefault="0003404C" w:rsidP="0003404C">
      <w:pPr>
        <w:pStyle w:val="BodyText2"/>
      </w:pPr>
    </w:p>
    <w:p w:rsidR="00ED06AD" w:rsidRPr="0071150A" w:rsidRDefault="00ED06AD">
      <w:pPr>
        <w:rPr>
          <w:rFonts w:ascii="Times New Roman" w:hAnsi="Times New Roman"/>
          <w:sz w:val="24"/>
          <w:szCs w:val="24"/>
        </w:rPr>
      </w:pPr>
      <w:r w:rsidRPr="0071150A">
        <w:rPr>
          <w:rFonts w:ascii="Times New Roman" w:hAnsi="Times New Roman"/>
          <w:sz w:val="24"/>
          <w:szCs w:val="24"/>
        </w:rPr>
        <w:t>For more inform</w:t>
      </w:r>
      <w:r w:rsidR="002846EF">
        <w:rPr>
          <w:rFonts w:ascii="Times New Roman" w:hAnsi="Times New Roman"/>
          <w:sz w:val="24"/>
          <w:szCs w:val="24"/>
        </w:rPr>
        <w:t xml:space="preserve">ation, see the </w:t>
      </w:r>
      <w:hyperlink r:id="rId6" w:history="1">
        <w:r w:rsidR="002846EF" w:rsidRPr="0003404C">
          <w:rPr>
            <w:rStyle w:val="Hyperlink"/>
            <w:rFonts w:ascii="Times New Roman" w:hAnsi="Times New Roman"/>
            <w:sz w:val="24"/>
            <w:szCs w:val="24"/>
          </w:rPr>
          <w:t>Item 5 Tip Sheet</w:t>
        </w:r>
      </w:hyperlink>
      <w:r w:rsidR="002846EF">
        <w:rPr>
          <w:rFonts w:ascii="Times New Roman" w:hAnsi="Times New Roman"/>
          <w:sz w:val="24"/>
          <w:szCs w:val="24"/>
        </w:rPr>
        <w:t>.</w:t>
      </w:r>
    </w:p>
    <w:sectPr w:rsidR="00ED06AD" w:rsidRPr="0071150A" w:rsidSect="0003404C">
      <w:head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AF6" w:rsidRDefault="002E6AF6" w:rsidP="000D06C9">
      <w:r>
        <w:separator/>
      </w:r>
    </w:p>
  </w:endnote>
  <w:endnote w:type="continuationSeparator" w:id="0">
    <w:p w:rsidR="002E6AF6" w:rsidRDefault="002E6AF6" w:rsidP="000D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AF6" w:rsidRDefault="002E6AF6" w:rsidP="000D06C9">
      <w:r>
        <w:separator/>
      </w:r>
    </w:p>
  </w:footnote>
  <w:footnote w:type="continuationSeparator" w:id="0">
    <w:p w:rsidR="002E6AF6" w:rsidRDefault="002E6AF6" w:rsidP="000D0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6C9" w:rsidRPr="000D06C9" w:rsidRDefault="000D06C9">
    <w:pPr>
      <w:pStyle w:val="Header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45"/>
    <w:rsid w:val="000114BA"/>
    <w:rsid w:val="0002264C"/>
    <w:rsid w:val="0003404C"/>
    <w:rsid w:val="000A68F3"/>
    <w:rsid w:val="000D06C9"/>
    <w:rsid w:val="000D2A96"/>
    <w:rsid w:val="00131571"/>
    <w:rsid w:val="0016654C"/>
    <w:rsid w:val="002046FD"/>
    <w:rsid w:val="00225966"/>
    <w:rsid w:val="002846EF"/>
    <w:rsid w:val="002E068F"/>
    <w:rsid w:val="002E6AF6"/>
    <w:rsid w:val="00342B07"/>
    <w:rsid w:val="003534D5"/>
    <w:rsid w:val="00376748"/>
    <w:rsid w:val="003928E4"/>
    <w:rsid w:val="003C33A9"/>
    <w:rsid w:val="003E1F2D"/>
    <w:rsid w:val="003E20A9"/>
    <w:rsid w:val="003E6055"/>
    <w:rsid w:val="004434D1"/>
    <w:rsid w:val="004B7F5B"/>
    <w:rsid w:val="004C2631"/>
    <w:rsid w:val="004C30C6"/>
    <w:rsid w:val="005275D2"/>
    <w:rsid w:val="00563E14"/>
    <w:rsid w:val="006616B4"/>
    <w:rsid w:val="007037DA"/>
    <w:rsid w:val="0071150A"/>
    <w:rsid w:val="00736181"/>
    <w:rsid w:val="00765DEF"/>
    <w:rsid w:val="00777416"/>
    <w:rsid w:val="007856C4"/>
    <w:rsid w:val="007C6024"/>
    <w:rsid w:val="00852955"/>
    <w:rsid w:val="00876D01"/>
    <w:rsid w:val="00911132"/>
    <w:rsid w:val="009219B9"/>
    <w:rsid w:val="009C1C45"/>
    <w:rsid w:val="009E27C4"/>
    <w:rsid w:val="00A6229E"/>
    <w:rsid w:val="00AA1243"/>
    <w:rsid w:val="00B21E22"/>
    <w:rsid w:val="00B7778E"/>
    <w:rsid w:val="00B8371A"/>
    <w:rsid w:val="00C21E61"/>
    <w:rsid w:val="00C4542C"/>
    <w:rsid w:val="00CA17C0"/>
    <w:rsid w:val="00CE05D2"/>
    <w:rsid w:val="00CE5D48"/>
    <w:rsid w:val="00CF5FB5"/>
    <w:rsid w:val="00CF63A0"/>
    <w:rsid w:val="00D2647D"/>
    <w:rsid w:val="00D8719D"/>
    <w:rsid w:val="00DB2F46"/>
    <w:rsid w:val="00DB5943"/>
    <w:rsid w:val="00DB5BE3"/>
    <w:rsid w:val="00DD406A"/>
    <w:rsid w:val="00DE580D"/>
    <w:rsid w:val="00E613F4"/>
    <w:rsid w:val="00EC1C3F"/>
    <w:rsid w:val="00ED06AD"/>
    <w:rsid w:val="00F12F99"/>
    <w:rsid w:val="00F36F2B"/>
    <w:rsid w:val="00F54F27"/>
    <w:rsid w:val="00F565F2"/>
    <w:rsid w:val="00F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5F910"/>
  <w15:chartTrackingRefBased/>
  <w15:docId w15:val="{A6B9B25C-7133-46F3-B1B7-313D7C39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11111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45"/>
    <w:rPr>
      <w:rFonts w:ascii="Calibri" w:hAnsi="Calibri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CenturySchlbk">
    <w:name w:val="NewCenturySchlbk"/>
    <w:basedOn w:val="BodyText"/>
    <w:link w:val="NewCenturySchlbkChar"/>
    <w:uiPriority w:val="1"/>
    <w:qFormat/>
    <w:rsid w:val="00D2647D"/>
    <w:pPr>
      <w:widowControl w:val="0"/>
      <w:kinsoku w:val="0"/>
      <w:overflowPunct w:val="0"/>
      <w:autoSpaceDE w:val="0"/>
      <w:autoSpaceDN w:val="0"/>
      <w:adjustRightInd w:val="0"/>
      <w:spacing w:before="39" w:after="0"/>
      <w:ind w:left="100" w:right="75"/>
    </w:pPr>
    <w:rPr>
      <w:rFonts w:ascii="Century Schoolbook" w:hAnsi="Century Schoolbook" w:cs="Century Schoolbook"/>
      <w:szCs w:val="24"/>
    </w:rPr>
  </w:style>
  <w:style w:type="character" w:customStyle="1" w:styleId="NewCenturySchlbkChar">
    <w:name w:val="NewCenturySchlbk Char"/>
    <w:basedOn w:val="BodyTextChar"/>
    <w:link w:val="NewCenturySchlbk"/>
    <w:uiPriority w:val="1"/>
    <w:rsid w:val="00D2647D"/>
    <w:rPr>
      <w:rFonts w:ascii="Century Schoolbook" w:eastAsiaTheme="minorEastAsia" w:hAnsi="Century Schoolbook" w:cs="Century Schoolbook"/>
      <w:color w:val="auto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264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647D"/>
  </w:style>
  <w:style w:type="paragraph" w:styleId="BalloonText">
    <w:name w:val="Balloon Text"/>
    <w:basedOn w:val="Normal"/>
    <w:link w:val="BalloonTextChar"/>
    <w:uiPriority w:val="99"/>
    <w:semiHidden/>
    <w:unhideWhenUsed/>
    <w:rsid w:val="00785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C4"/>
    <w:rPr>
      <w:rFonts w:ascii="Tahoma" w:hAnsi="Tahoma" w:cs="Tahoma"/>
      <w:sz w:val="16"/>
      <w:szCs w:val="16"/>
    </w:rPr>
  </w:style>
  <w:style w:type="paragraph" w:customStyle="1" w:styleId="IndexMarker">
    <w:name w:val="IndexMarker"/>
    <w:basedOn w:val="Normal"/>
    <w:link w:val="IndexMarkerChar"/>
    <w:qFormat/>
    <w:rsid w:val="006616B4"/>
    <w:pPr>
      <w:shd w:val="clear" w:color="auto" w:fill="FFFF99"/>
    </w:pPr>
    <w:rPr>
      <w:rFonts w:eastAsiaTheme="minorEastAsia"/>
      <w:szCs w:val="24"/>
    </w:rPr>
  </w:style>
  <w:style w:type="character" w:customStyle="1" w:styleId="IndexMarkerChar">
    <w:name w:val="IndexMarker Char"/>
    <w:basedOn w:val="DefaultParagraphFont"/>
    <w:link w:val="IndexMarker"/>
    <w:rsid w:val="006616B4"/>
    <w:rPr>
      <w:rFonts w:eastAsiaTheme="minorEastAsia"/>
      <w:color w:val="auto"/>
      <w:szCs w:val="24"/>
      <w:shd w:val="clear" w:color="auto" w:fill="FFFF99"/>
    </w:rPr>
  </w:style>
  <w:style w:type="paragraph" w:customStyle="1" w:styleId="IndexStyle">
    <w:name w:val="Index_Style"/>
    <w:basedOn w:val="Normal"/>
    <w:link w:val="IndexStyleChar"/>
    <w:qFormat/>
    <w:rsid w:val="006616B4"/>
    <w:pPr>
      <w:tabs>
        <w:tab w:val="right" w:leader="dot" w:pos="9360"/>
      </w:tabs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IndexStyleChar">
    <w:name w:val="Index_Style Char"/>
    <w:basedOn w:val="DefaultParagraphFont"/>
    <w:link w:val="IndexStyle"/>
    <w:rsid w:val="006616B4"/>
    <w:rPr>
      <w:rFonts w:eastAsiaTheme="minorEastAsia"/>
      <w:color w:val="auto"/>
      <w:szCs w:val="24"/>
    </w:rPr>
  </w:style>
  <w:style w:type="paragraph" w:customStyle="1" w:styleId="IndexPg">
    <w:name w:val="Index_Pg"/>
    <w:basedOn w:val="Normal"/>
    <w:link w:val="IndexPgChar"/>
    <w:qFormat/>
    <w:rsid w:val="006616B4"/>
    <w:pPr>
      <w:tabs>
        <w:tab w:val="left" w:pos="720"/>
        <w:tab w:val="right" w:leader="dot" w:pos="9360"/>
      </w:tabs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IndexPgChar">
    <w:name w:val="Index_Pg Char"/>
    <w:basedOn w:val="DefaultParagraphFont"/>
    <w:link w:val="IndexPg"/>
    <w:rsid w:val="006616B4"/>
    <w:rPr>
      <w:rFonts w:eastAsiaTheme="minorEastAsia"/>
      <w:color w:val="auto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16B4"/>
    <w:pPr>
      <w:ind w:left="240" w:hanging="240"/>
    </w:pPr>
  </w:style>
  <w:style w:type="paragraph" w:styleId="IndexHeading">
    <w:name w:val="index heading"/>
    <w:basedOn w:val="Normal"/>
    <w:next w:val="Index1"/>
    <w:uiPriority w:val="99"/>
    <w:unhideWhenUsed/>
    <w:rsid w:val="006616B4"/>
    <w:pPr>
      <w:spacing w:before="120" w:after="120"/>
    </w:pPr>
    <w:rPr>
      <w:rFonts w:asciiTheme="minorHAnsi" w:eastAsiaTheme="minorEastAsia" w:hAnsiTheme="minorHAnsi"/>
      <w:b/>
      <w:bCs/>
      <w:i/>
      <w:iCs/>
      <w:sz w:val="20"/>
      <w:szCs w:val="20"/>
    </w:rPr>
  </w:style>
  <w:style w:type="paragraph" w:customStyle="1" w:styleId="table-centered">
    <w:name w:val="table-centered"/>
    <w:basedOn w:val="Normal"/>
    <w:uiPriority w:val="99"/>
    <w:rsid w:val="009C1C45"/>
    <w:pPr>
      <w:jc w:val="center"/>
    </w:pPr>
    <w:rPr>
      <w:rFonts w:ascii="Arial" w:hAnsi="Arial" w:cs="Arial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0D0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6C9"/>
    <w:rPr>
      <w:rFonts w:ascii="Calibri" w:hAnsi="Calibri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0D0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6C9"/>
    <w:rPr>
      <w:rFonts w:ascii="Calibri" w:hAnsi="Calibri"/>
      <w:color w:val="auto"/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765DEF"/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65DEF"/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0340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tc.gov/enforcement/premerger-notification-program/hsr-resources/reporting-revenues-item-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Trade Commission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Sheinberg, Samuel I.</dc:creator>
  <cp:keywords/>
  <dc:description/>
  <cp:lastModifiedBy>Sheinberg, Samuel I.</cp:lastModifiedBy>
  <cp:revision>4</cp:revision>
  <dcterms:created xsi:type="dcterms:W3CDTF">2019-09-25T15:53:00Z</dcterms:created>
  <dcterms:modified xsi:type="dcterms:W3CDTF">2019-09-25T15:58:00Z</dcterms:modified>
</cp:coreProperties>
</file>